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EA386B">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EA386B">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EA386B">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C16416"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xml:space="preserve">, если иное не предусмотрено законодательством Российской </w:t>
      </w:r>
      <w:proofErr w:type="spellStart"/>
      <w:r>
        <w:t>Федерации</w:t>
      </w:r>
      <w:proofErr w:type="gramStart"/>
      <w:r>
        <w:t>.</w:t>
      </w:r>
      <w:r>
        <w:rPr>
          <w:i/>
          <w:color w:val="BFBFBF"/>
          <w:sz w:val="12"/>
          <w:szCs w:val="12"/>
        </w:rPr>
        <w:t>В</w:t>
      </w:r>
      <w:proofErr w:type="gramEnd"/>
      <w:r>
        <w:rPr>
          <w:i/>
          <w:color w:val="BFBFBF"/>
          <w:sz w:val="12"/>
          <w:szCs w:val="12"/>
        </w:rPr>
        <w:t>ерсия</w:t>
      </w:r>
      <w:proofErr w:type="spellEnd"/>
      <w:r>
        <w:rPr>
          <w:i/>
          <w:color w:val="BFBFBF"/>
          <w:sz w:val="12"/>
          <w:szCs w:val="12"/>
        </w:rPr>
        <w:t xml:space="preserve"> шаблона от </w:t>
      </w:r>
      <w:r w:rsidRPr="0014229A">
        <w:rPr>
          <w:i/>
          <w:color w:val="BFBFBF"/>
          <w:sz w:val="12"/>
          <w:szCs w:val="12"/>
        </w:rPr>
        <w:t>12.08</w:t>
      </w:r>
      <w:r>
        <w:rPr>
          <w:i/>
          <w:color w:val="BFBFBF"/>
          <w:sz w:val="12"/>
          <w:szCs w:val="12"/>
        </w:rPr>
        <w:t>.</w:t>
      </w:r>
      <w:r w:rsidRPr="0014229A">
        <w:rPr>
          <w:i/>
          <w:color w:val="BFBFBF"/>
          <w:sz w:val="12"/>
          <w:szCs w:val="12"/>
        </w:rPr>
        <w:t>2015</w:t>
      </w:r>
      <w:r>
        <w:rPr>
          <w:i/>
          <w:color w:val="BFBFBF"/>
          <w:sz w:val="12"/>
          <w:szCs w:val="12"/>
        </w:rPr>
        <w:t xml:space="preserve"> г.</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58706C"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26485E" w:rsidRDefault="000F4823" w:rsidP="000F4823">
            <w:pPr>
              <w:pStyle w:val="Default"/>
              <w:jc w:val="both"/>
              <w:rPr>
                <w:bCs/>
              </w:rPr>
            </w:pPr>
            <w:r w:rsidRPr="000F4823">
              <w:rPr>
                <w:bCs/>
              </w:rPr>
              <w:t>тел</w:t>
            </w:r>
            <w:r w:rsidR="005C6DCB" w:rsidRPr="0026485E">
              <w:rPr>
                <w:bCs/>
              </w:rPr>
              <w:t xml:space="preserve">. + 7 (347)2767236, </w:t>
            </w:r>
            <w:r w:rsidR="005C6DCB">
              <w:rPr>
                <w:bCs/>
                <w:lang w:val="en-US"/>
              </w:rPr>
              <w:t>e</w:t>
            </w:r>
            <w:r w:rsidR="005C6DCB" w:rsidRPr="0026485E">
              <w:rPr>
                <w:bCs/>
              </w:rPr>
              <w:t>-</w:t>
            </w:r>
            <w:r w:rsidR="005C6DCB">
              <w:rPr>
                <w:bCs/>
                <w:lang w:val="en-US"/>
              </w:rPr>
              <w:t>mail</w:t>
            </w:r>
            <w:r w:rsidR="005C6DCB" w:rsidRPr="0026485E">
              <w:rPr>
                <w:bCs/>
              </w:rPr>
              <w:t>:</w:t>
            </w:r>
            <w:hyperlink r:id="rId17" w:history="1">
              <w:r w:rsidRPr="0026485E">
                <w:rPr>
                  <w:rStyle w:val="a3"/>
                  <w:bCs/>
                </w:rPr>
                <w:t xml:space="preserve"> </w:t>
              </w:r>
              <w:r w:rsidRPr="000F4823">
                <w:rPr>
                  <w:rStyle w:val="a3"/>
                  <w:bCs/>
                  <w:lang w:val="en-US"/>
                </w:rPr>
                <w:t>e</w:t>
              </w:r>
              <w:r w:rsidRPr="0026485E">
                <w:rPr>
                  <w:rStyle w:val="a3"/>
                  <w:bCs/>
                </w:rPr>
                <w:t>.</w:t>
              </w:r>
              <w:r w:rsidRPr="000F4823">
                <w:rPr>
                  <w:rStyle w:val="a3"/>
                  <w:bCs/>
                  <w:lang w:val="en-US"/>
                </w:rPr>
                <w:t>farrahova</w:t>
              </w:r>
              <w:r w:rsidRPr="0026485E">
                <w:rPr>
                  <w:rStyle w:val="a3"/>
                  <w:bCs/>
                </w:rPr>
                <w:t>@</w:t>
              </w:r>
              <w:r w:rsidRPr="000F4823">
                <w:rPr>
                  <w:rStyle w:val="a3"/>
                  <w:bCs/>
                  <w:lang w:val="en-US"/>
                </w:rPr>
                <w:t>bashtel</w:t>
              </w:r>
              <w:r w:rsidRPr="0026485E">
                <w:rPr>
                  <w:rStyle w:val="a3"/>
                  <w:bCs/>
                </w:rPr>
                <w:t>.</w:t>
              </w:r>
              <w:proofErr w:type="spellStart"/>
              <w:r w:rsidRPr="000F4823">
                <w:rPr>
                  <w:rStyle w:val="a3"/>
                  <w:bCs/>
                  <w:lang w:val="en-US"/>
                </w:rPr>
                <w:t>ru</w:t>
              </w:r>
              <w:proofErr w:type="spellEnd"/>
            </w:hyperlink>
          </w:p>
          <w:p w:rsidR="000F4823" w:rsidRPr="000F4823" w:rsidRDefault="000F4823" w:rsidP="000F4823">
            <w:pPr>
              <w:pStyle w:val="Default"/>
              <w:rPr>
                <w:bCs/>
              </w:rPr>
            </w:pPr>
            <w:r w:rsidRPr="000F4823">
              <w:rPr>
                <w:bCs/>
              </w:rPr>
              <w:t>Ответственное лицо Заказчика по техническим вопросам проведения Открытого запроса предложений:</w:t>
            </w:r>
          </w:p>
          <w:p w:rsidR="0058706C" w:rsidRPr="00A4524B" w:rsidRDefault="0058706C" w:rsidP="0058706C">
            <w:pPr>
              <w:autoSpaceDE w:val="0"/>
              <w:autoSpaceDN w:val="0"/>
              <w:adjustRightInd w:val="0"/>
              <w:rPr>
                <w:rFonts w:eastAsia="Calibri"/>
                <w:b/>
                <w:iCs/>
                <w:color w:val="000000"/>
              </w:rPr>
            </w:pPr>
            <w:r w:rsidRPr="00A4524B">
              <w:rPr>
                <w:rFonts w:eastAsia="Calibri"/>
                <w:b/>
                <w:iCs/>
                <w:color w:val="000000"/>
              </w:rPr>
              <w:t>Гилева Светлана Рашитовна</w:t>
            </w:r>
          </w:p>
          <w:p w:rsidR="0014229A" w:rsidRPr="00F83F95" w:rsidRDefault="0058706C" w:rsidP="0058706C">
            <w:pPr>
              <w:pStyle w:val="Default"/>
            </w:pPr>
            <w:r w:rsidRPr="00A4524B">
              <w:rPr>
                <w:bCs/>
              </w:rPr>
              <w:t>тел</w:t>
            </w:r>
            <w:r w:rsidRPr="00F83F95">
              <w:rPr>
                <w:bCs/>
              </w:rPr>
              <w:t>. + 7 (347)</w:t>
            </w:r>
            <w:r w:rsidRPr="00F83F95">
              <w:t xml:space="preserve"> </w:t>
            </w:r>
            <w:r w:rsidRPr="00F83F95">
              <w:rPr>
                <w:bCs/>
              </w:rPr>
              <w:t xml:space="preserve">221-57-64 </w:t>
            </w:r>
            <w:r w:rsidRPr="00A4524B">
              <w:rPr>
                <w:bCs/>
                <w:lang w:val="en-US"/>
              </w:rPr>
              <w:t>e</w:t>
            </w:r>
            <w:r w:rsidRPr="00F83F95">
              <w:rPr>
                <w:bCs/>
              </w:rPr>
              <w:t>-</w:t>
            </w:r>
            <w:r w:rsidRPr="00A4524B">
              <w:rPr>
                <w:bCs/>
                <w:lang w:val="en-US"/>
              </w:rPr>
              <w:t>mail</w:t>
            </w:r>
            <w:r w:rsidRPr="00F83F95">
              <w:rPr>
                <w:bCs/>
              </w:rPr>
              <w:t xml:space="preserve">: </w:t>
            </w:r>
            <w:hyperlink r:id="rId18" w:history="1">
              <w:r w:rsidRPr="00A4524B">
                <w:rPr>
                  <w:rStyle w:val="a3"/>
                  <w:lang w:val="en-US"/>
                </w:rPr>
                <w:t>s</w:t>
              </w:r>
              <w:r w:rsidRPr="00F83F95">
                <w:rPr>
                  <w:rStyle w:val="a3"/>
                </w:rPr>
                <w:t>.</w:t>
              </w:r>
              <w:r w:rsidRPr="00A4524B">
                <w:rPr>
                  <w:rStyle w:val="a3"/>
                  <w:lang w:val="en-US"/>
                </w:rPr>
                <w:t>gileva</w:t>
              </w:r>
              <w:r w:rsidRPr="00F83F95">
                <w:rPr>
                  <w:rStyle w:val="a3"/>
                </w:rPr>
                <w:t>@</w:t>
              </w:r>
              <w:r w:rsidRPr="00A4524B">
                <w:rPr>
                  <w:rStyle w:val="a3"/>
                  <w:lang w:val="en-US"/>
                </w:rPr>
                <w:t>bashtel</w:t>
              </w:r>
              <w:r w:rsidRPr="00F83F95">
                <w:rPr>
                  <w:rStyle w:val="a3"/>
                </w:rPr>
                <w:t>.</w:t>
              </w:r>
              <w:proofErr w:type="spellStart"/>
              <w:r w:rsidRPr="00A4524B">
                <w:rPr>
                  <w:rStyle w:val="a3"/>
                  <w:lang w:val="en-US"/>
                </w:rPr>
                <w:t>ru</w:t>
              </w:r>
              <w:proofErr w:type="spellEnd"/>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3F95"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58706C">
            <w:r>
              <w:t>«</w:t>
            </w:r>
            <w:r w:rsidR="0058706C">
              <w:t>14</w:t>
            </w:r>
            <w:r w:rsidR="0014229A" w:rsidRPr="005C24A0">
              <w:t>»</w:t>
            </w:r>
            <w:r w:rsidR="000F4823">
              <w:rPr>
                <w:lang w:val="en-US"/>
              </w:rPr>
              <w:t xml:space="preserve"> </w:t>
            </w:r>
            <w:r w:rsidR="0058706C">
              <w:t>декаб</w:t>
            </w:r>
            <w:r w:rsidR="000F4823">
              <w:t>ря 2015</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w:t>
            </w:r>
            <w:r w:rsidR="0058706C">
              <w:t>14</w:t>
            </w:r>
            <w:r w:rsidR="007C17D3">
              <w:t xml:space="preserve">» </w:t>
            </w:r>
            <w:r w:rsidR="0058706C">
              <w:t>дека</w:t>
            </w:r>
            <w:r w:rsidR="007C17D3">
              <w:t>бря 2015 года в 1</w:t>
            </w:r>
            <w:r w:rsidR="00A91F15">
              <w:t>5</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58706C">
            <w:r>
              <w:t>«</w:t>
            </w:r>
            <w:r w:rsidR="00A91F15">
              <w:t>1</w:t>
            </w:r>
            <w:r w:rsidR="0058706C">
              <w:t>4</w:t>
            </w:r>
            <w:r w:rsidR="000F4823" w:rsidRPr="000F4823">
              <w:t xml:space="preserve">» </w:t>
            </w:r>
            <w:r w:rsidR="0058706C" w:rsidRPr="0058706C">
              <w:t>января 2016 года</w:t>
            </w:r>
            <w:r w:rsidR="000F4823" w:rsidRPr="000F4823">
              <w:t xml:space="preserve"> в 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дата и </w:t>
            </w:r>
            <w:r>
              <w:lastRenderedPageBreak/>
              <w:t>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lastRenderedPageBreak/>
              <w:t xml:space="preserve">Место открытия доступа к </w:t>
            </w:r>
            <w:r w:rsidR="00E9498C">
              <w:rPr>
                <w:iCs/>
              </w:rPr>
              <w:t>предоставленным</w:t>
            </w:r>
            <w:r w:rsidRPr="000F4823">
              <w:rPr>
                <w:iCs/>
              </w:rPr>
              <w:t xml:space="preserve"> в форме электронных </w:t>
            </w:r>
            <w:r w:rsidRPr="000F4823">
              <w:rPr>
                <w:iCs/>
              </w:rPr>
              <w:lastRenderedPageBreak/>
              <w:t>документов Заявкам – Электронная торговая площадка.</w:t>
            </w:r>
          </w:p>
          <w:p w:rsidR="0014229A" w:rsidRPr="00E82F20" w:rsidRDefault="003B6396" w:rsidP="0058706C">
            <w:pPr>
              <w:rPr>
                <w:highlight w:val="lightGray"/>
              </w:rPr>
            </w:pPr>
            <w:r>
              <w:rPr>
                <w:iCs/>
              </w:rPr>
              <w:t>«</w:t>
            </w:r>
            <w:r w:rsidR="00A91F15">
              <w:rPr>
                <w:iCs/>
              </w:rPr>
              <w:t>1</w:t>
            </w:r>
            <w:r w:rsidR="0058706C">
              <w:rPr>
                <w:iCs/>
              </w:rPr>
              <w:t>4</w:t>
            </w:r>
            <w:r w:rsidR="000F4823" w:rsidRPr="000F4823">
              <w:rPr>
                <w:iCs/>
              </w:rPr>
              <w:t xml:space="preserve">» </w:t>
            </w:r>
            <w:r w:rsidR="0058706C">
              <w:rPr>
                <w:rFonts w:eastAsia="Calibri"/>
                <w:iCs/>
                <w:color w:val="000000"/>
              </w:rPr>
              <w:t>января 2016 года</w:t>
            </w:r>
            <w:r w:rsidR="000F4823" w:rsidRPr="000F4823">
              <w:rPr>
                <w:iCs/>
              </w:rPr>
              <w:t xml:space="preserve"> в </w:t>
            </w:r>
            <w:r w:rsidR="000F4823" w:rsidRPr="000F4823">
              <w:t>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A91F15">
              <w:t>1</w:t>
            </w:r>
            <w:r w:rsidR="0058706C">
              <w:t>5</w:t>
            </w:r>
            <w:r w:rsidRPr="000F4823">
              <w:t xml:space="preserve">» </w:t>
            </w:r>
            <w:r w:rsidR="0058706C">
              <w:rPr>
                <w:rFonts w:eastAsia="Calibri"/>
                <w:iCs/>
                <w:color w:val="000000"/>
              </w:rPr>
              <w:t>января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A91F15">
              <w:t>1</w:t>
            </w:r>
            <w:r w:rsidR="0058706C">
              <w:t>8</w:t>
            </w:r>
            <w:r w:rsidRPr="000F4823">
              <w:t xml:space="preserve">» </w:t>
            </w:r>
            <w:r w:rsidR="0058706C">
              <w:rPr>
                <w:rFonts w:eastAsia="Calibri"/>
                <w:iCs/>
                <w:color w:val="000000"/>
              </w:rPr>
              <w:t>января 2016 года</w:t>
            </w:r>
            <w:r w:rsidRPr="000F4823">
              <w:t xml:space="preserve"> в 14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712F06">
              <w:t>2</w:t>
            </w:r>
            <w:r w:rsidR="0058706C">
              <w:t>2</w:t>
            </w:r>
            <w:r w:rsidRPr="000F4823">
              <w:t xml:space="preserve">» </w:t>
            </w:r>
            <w:r w:rsidR="0058706C">
              <w:rPr>
                <w:rFonts w:eastAsia="Calibri"/>
                <w:iCs/>
                <w:color w:val="000000"/>
              </w:rPr>
              <w:t>января 2016 года</w:t>
            </w:r>
            <w:r w:rsidRPr="000F4823">
              <w:t xml:space="preserve"> </w:t>
            </w:r>
            <w:proofErr w:type="spellStart"/>
            <w:r w:rsidRPr="000F4823">
              <w:t>года</w:t>
            </w:r>
            <w:proofErr w:type="spellEnd"/>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58706C" w:rsidP="000F4823">
            <w:r w:rsidRPr="00972152">
              <w:rPr>
                <w:b/>
              </w:rPr>
              <w:t xml:space="preserve">Поставка </w:t>
            </w:r>
            <w:r>
              <w:rPr>
                <w:b/>
              </w:rPr>
              <w:t xml:space="preserve">оборудования </w:t>
            </w:r>
            <w:r>
              <w:rPr>
                <w:b/>
                <w:lang w:val="en-US"/>
              </w:rPr>
              <w:t>ONT</w:t>
            </w:r>
            <w:r w:rsidR="000F4823" w:rsidRPr="000F4823">
              <w:rPr>
                <w:b/>
              </w:rPr>
              <w:t>.</w:t>
            </w:r>
            <w:r w:rsidR="000F4823" w:rsidRPr="000F4823">
              <w:t xml:space="preserve"> </w:t>
            </w:r>
          </w:p>
          <w:p w:rsidR="0014229A" w:rsidRPr="00227C39" w:rsidRDefault="000F4823" w:rsidP="000F4823">
            <w:pPr>
              <w:pStyle w:val="Default"/>
              <w:jc w:val="both"/>
              <w:rPr>
                <w:iCs/>
              </w:rPr>
            </w:pPr>
            <w:r w:rsidRPr="000F4823">
              <w:rPr>
                <w:rFonts w:eastAsia="Times New Roman"/>
                <w:color w:val="auto"/>
                <w:lang w:eastAsia="ru-RU"/>
              </w:rPr>
              <w:t>Наименование и количество необходимого товара, описание и иные технические требования к товару определяются спецификацией (Приложение №1</w:t>
            </w:r>
            <w:r w:rsidR="0058706C">
              <w:rPr>
                <w:rFonts w:eastAsia="Times New Roman"/>
                <w:color w:val="auto"/>
                <w:lang w:eastAsia="ru-RU"/>
              </w:rPr>
              <w:t>.1</w:t>
            </w:r>
            <w:r w:rsidRPr="000F4823">
              <w:rPr>
                <w:rFonts w:eastAsia="Times New Roman"/>
                <w:color w:val="auto"/>
                <w:lang w:eastAsia="ru-RU"/>
              </w:rPr>
              <w:t xml:space="preserve"> к Извещению) и условиями</w:t>
            </w:r>
            <w:r w:rsidR="008F2EB6">
              <w:rPr>
                <w:rFonts w:eastAsia="Times New Roman"/>
                <w:color w:val="auto"/>
                <w:lang w:eastAsia="ru-RU"/>
              </w:rPr>
              <w:t xml:space="preserve"> проекта</w:t>
            </w:r>
            <w:r w:rsidRPr="000F4823">
              <w:rPr>
                <w:rFonts w:eastAsia="Times New Roman"/>
                <w:color w:val="auto"/>
                <w:lang w:eastAsia="ru-RU"/>
              </w:rPr>
              <w:t xml:space="preserve"> договора (Приложение №2 к Извещению).</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w:t>
            </w:r>
            <w:r w:rsidRPr="0039385A">
              <w:lastRenderedPageBreak/>
              <w:t>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58706C">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58706C">
              <w:t>, Протоколами тестирования</w:t>
            </w:r>
            <w:r w:rsidRPr="000F4823">
              <w:t xml:space="preserve"> </w:t>
            </w:r>
            <w:r w:rsidR="005E779F">
              <w:t xml:space="preserve">абонентского терминала </w:t>
            </w:r>
            <w:r w:rsidR="005E779F">
              <w:rPr>
                <w:lang w:val="en-US"/>
              </w:rPr>
              <w:t>GPON</w:t>
            </w:r>
            <w:r w:rsidR="005E779F" w:rsidRPr="005E779F">
              <w:t xml:space="preserve"> (</w:t>
            </w:r>
            <w:r w:rsidR="005E779F">
              <w:rPr>
                <w:lang w:val="en-US"/>
              </w:rPr>
              <w:t>ONT</w:t>
            </w:r>
            <w:r w:rsidR="005E779F" w:rsidRPr="005E779F">
              <w:t xml:space="preserve">) </w:t>
            </w:r>
            <w:proofErr w:type="spellStart"/>
            <w:r w:rsidR="005E779F">
              <w:rPr>
                <w:lang w:val="en-US"/>
              </w:rPr>
              <w:t>Zyxel</w:t>
            </w:r>
            <w:proofErr w:type="spellEnd"/>
            <w:r w:rsidR="005E779F" w:rsidRPr="005E779F">
              <w:t xml:space="preserve"> </w:t>
            </w:r>
            <w:r w:rsidRPr="000F4823">
              <w:t>и условиями</w:t>
            </w:r>
            <w:r w:rsidR="008F2EB6">
              <w:t xml:space="preserve"> проекта</w:t>
            </w:r>
            <w:r w:rsidRPr="000F4823">
              <w:t xml:space="preserve"> договора (Приложения №№</w:t>
            </w:r>
            <w:r>
              <w:t xml:space="preserve"> </w:t>
            </w:r>
            <w:r w:rsidRPr="000F4823">
              <w:t>1</w:t>
            </w:r>
            <w:r w:rsidR="0058706C">
              <w:t>.1</w:t>
            </w:r>
            <w:r w:rsidRPr="000F4823">
              <w:t xml:space="preserve">, </w:t>
            </w:r>
            <w:r w:rsidR="0058706C">
              <w:t xml:space="preserve">1.2, 1.3, </w:t>
            </w:r>
            <w:r w:rsidRPr="000F4823">
              <w:t>2 к Извещению).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DD7F60">
            <w:pPr>
              <w:autoSpaceDE w:val="0"/>
              <w:autoSpaceDN w:val="0"/>
              <w:adjustRightInd w:val="0"/>
              <w:jc w:val="both"/>
              <w:rPr>
                <w:iCs/>
              </w:rPr>
            </w:pPr>
          </w:p>
          <w:p w:rsidR="0058706C" w:rsidRDefault="0058706C" w:rsidP="0058706C">
            <w:pPr>
              <w:autoSpaceDE w:val="0"/>
              <w:autoSpaceDN w:val="0"/>
              <w:adjustRightInd w:val="0"/>
              <w:jc w:val="both"/>
              <w:rPr>
                <w:iCs/>
              </w:rPr>
            </w:pPr>
            <w:r w:rsidRPr="00AA5094">
              <w:rPr>
                <w:iCs/>
              </w:rPr>
              <w:t>Лот № 1</w:t>
            </w:r>
          </w:p>
          <w:p w:rsidR="00DD7F60" w:rsidRPr="00AA5094" w:rsidRDefault="0058706C" w:rsidP="0058706C">
            <w:pPr>
              <w:autoSpaceDE w:val="0"/>
              <w:autoSpaceDN w:val="0"/>
              <w:adjustRightInd w:val="0"/>
              <w:jc w:val="both"/>
              <w:rPr>
                <w:iCs/>
              </w:rPr>
            </w:pPr>
            <w:r>
              <w:rPr>
                <w:iCs/>
              </w:rPr>
              <w:t>42 797 620,00 (Сорок два миллиона семьсот девяносто семь тысяч шестьсот двадцать) рублей с учетом НДС, в</w:t>
            </w:r>
            <w:r w:rsidRPr="00AA5094">
              <w:rPr>
                <w:iCs/>
              </w:rPr>
              <w:t xml:space="preserve"> том числе сумма НДС (18%) </w:t>
            </w:r>
            <w:r>
              <w:rPr>
                <w:iCs/>
              </w:rPr>
              <w:t>6 528 450,51</w:t>
            </w:r>
            <w:r w:rsidRPr="00AA5094">
              <w:rPr>
                <w:iCs/>
              </w:rPr>
              <w:t xml:space="preserve"> рублей.</w:t>
            </w:r>
            <w:r w:rsidR="00DD7F60" w:rsidRPr="00AA5094">
              <w:rPr>
                <w:iCs/>
              </w:rPr>
              <w:t xml:space="preserve"> </w:t>
            </w:r>
          </w:p>
          <w:p w:rsidR="00DD7F60" w:rsidRPr="00AA5094" w:rsidRDefault="00DD7F60" w:rsidP="00DD7F60">
            <w:pPr>
              <w:autoSpaceDE w:val="0"/>
              <w:autoSpaceDN w:val="0"/>
              <w:adjustRightInd w:val="0"/>
              <w:jc w:val="both"/>
              <w:rPr>
                <w:iCs/>
              </w:rPr>
            </w:pPr>
          </w:p>
          <w:p w:rsidR="00DD7F60" w:rsidRPr="00AA5094" w:rsidRDefault="00DD7F60" w:rsidP="00DD7F60">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DD7F60" w:rsidRDefault="00DD7F60" w:rsidP="00DD7F60">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(Приложение № 1</w:t>
            </w:r>
            <w:r w:rsidR="0058706C">
              <w:rPr>
                <w:iCs/>
              </w:rPr>
              <w:t>.1</w:t>
            </w:r>
            <w:r w:rsidRPr="00AA5094">
              <w:rPr>
                <w:iCs/>
              </w:rPr>
              <w:t xml:space="preserve"> к Извещению).</w:t>
            </w:r>
          </w:p>
          <w:p w:rsidR="0014229A" w:rsidRPr="00235AF8" w:rsidRDefault="0014229A" w:rsidP="00DD7F60">
            <w:pPr>
              <w:ind w:firstLine="34"/>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w:t>
                  </w:r>
                  <w:r w:rsidR="0014229A" w:rsidRPr="00F84878">
                    <w:rPr>
                      <w:rFonts w:eastAsia="Calibri" w:cs="Arial"/>
                      <w:color w:val="000000"/>
                    </w:rPr>
                    <w:lastRenderedPageBreak/>
                    <w:t>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F83F95">
                  <w:pPr>
                    <w:pStyle w:val="a4"/>
                    <w:ind w:left="0"/>
                    <w:rPr>
                      <w:rFonts w:cs="Arial"/>
                      <w:color w:val="000000"/>
                    </w:rPr>
                  </w:pPr>
                  <w:r>
                    <w:rPr>
                      <w:rFonts w:cs="Arial"/>
                      <w:color w:val="000000"/>
                    </w:rPr>
                    <w:t>9</w:t>
                  </w:r>
                  <w:r w:rsidR="00F83F95">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EB4DA7">
                  <w:pPr>
                    <w:spacing w:after="200" w:line="276" w:lineRule="auto"/>
                  </w:pPr>
                  <w:r w:rsidRPr="00F2050A">
                    <w:t>Сроки оплаты по договору</w:t>
                  </w:r>
                </w:p>
              </w:tc>
              <w:tc>
                <w:tcPr>
                  <w:tcW w:w="1417" w:type="dxa"/>
                  <w:shd w:val="clear" w:color="auto" w:fill="auto"/>
                </w:tcPr>
                <w:p w:rsidR="00DD7F60" w:rsidRPr="00F2050A" w:rsidRDefault="00F83F95" w:rsidP="00EB4DA7">
                  <w:pPr>
                    <w:spacing w:after="200" w:line="276" w:lineRule="auto"/>
                  </w:pPr>
                  <w:r>
                    <w:t>3</w:t>
                  </w:r>
                  <w:r w:rsidR="00DD7F60" w:rsidRPr="00F2050A">
                    <w:t>%</w:t>
                  </w:r>
                </w:p>
              </w:tc>
              <w:tc>
                <w:tcPr>
                  <w:tcW w:w="3402" w:type="dxa"/>
                  <w:shd w:val="clear" w:color="auto" w:fill="auto"/>
                </w:tcPr>
                <w:p w:rsidR="00DD7F60" w:rsidRPr="00F2050A" w:rsidRDefault="00DD7F60" w:rsidP="00EA386B">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w:t>
                  </w:r>
                  <w:bookmarkStart w:id="17" w:name="_GoBack"/>
                  <w:bookmarkEnd w:id="17"/>
                  <w:r w:rsidRPr="00F2050A">
                    <w:rPr>
                      <w:rFonts w:eastAsia="MS Mincho"/>
                      <w:i/>
                      <w:iCs/>
                      <w:lang w:val="x-none"/>
                    </w:rPr>
                    <w:t>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w:t>
                  </w:r>
                  <w:r w:rsidRPr="00463B0A">
                    <w:rPr>
                      <w:color w:val="FF0000"/>
                    </w:rPr>
                    <w:t xml:space="preserve">на </w:t>
                  </w:r>
                  <w:r w:rsidR="00EA386B">
                    <w:rPr>
                      <w:color w:val="FF0000"/>
                    </w:rPr>
                    <w:t>6</w:t>
                  </w:r>
                  <w:r w:rsidRPr="00463B0A">
                    <w:rPr>
                      <w:color w:val="FF0000"/>
                    </w:rPr>
                    <w:t>0 календарных дней</w:t>
                  </w:r>
                  <w:r w:rsidR="00463B0A" w:rsidRPr="00463B0A">
                    <w:rPr>
                      <w:color w:val="FF0000"/>
                    </w:rPr>
                    <w:t xml:space="preserve">  при поставке первой партии, на </w:t>
                  </w:r>
                  <w:r w:rsidR="00EA386B">
                    <w:rPr>
                      <w:color w:val="FF0000"/>
                    </w:rPr>
                    <w:t>3</w:t>
                  </w:r>
                  <w:r w:rsidR="00463B0A" w:rsidRPr="00463B0A">
                    <w:rPr>
                      <w:color w:val="FF0000"/>
                    </w:rPr>
                    <w:t>0 дней при поставке второй партии</w:t>
                  </w:r>
                  <w:r w:rsidR="00EA386B">
                    <w:rPr>
                      <w:color w:val="FF0000"/>
                    </w:rPr>
                    <w:t>.</w:t>
                  </w:r>
                  <w:r w:rsidR="00463B0A" w:rsidRPr="00463B0A">
                    <w:rPr>
                      <w:color w:val="FF0000"/>
                    </w:rPr>
                    <w:t xml:space="preserve"> </w:t>
                  </w:r>
                  <w:r w:rsidRPr="00F2050A">
                    <w:t xml:space="preserve">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Извещению</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w:t>
            </w:r>
            <w:r>
              <w:lastRenderedPageBreak/>
              <w:t xml:space="preserve">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023C7">
        <w:trPr>
          <w:trHeight w:val="151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32B40" w:rsidRPr="00972152" w:rsidRDefault="00C32B40" w:rsidP="00C32B40">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rsidRPr="00F04218">
              <w:t>450027,</w:t>
            </w:r>
            <w:r>
              <w:t xml:space="preserve"> </w:t>
            </w:r>
            <w:r w:rsidRPr="00972152">
              <w:t xml:space="preserve">Республика Башкортостан, </w:t>
            </w:r>
            <w:r>
              <w:t>г. Уфа, ул. Каспийская</w:t>
            </w:r>
            <w:r w:rsidRPr="00F04218">
              <w:t>,</w:t>
            </w:r>
            <w:r>
              <w:t xml:space="preserve"> </w:t>
            </w:r>
            <w:r w:rsidRPr="00F04218">
              <w:t>д. 14.</w:t>
            </w:r>
          </w:p>
          <w:p w:rsidR="00C32B40" w:rsidRPr="00972152" w:rsidRDefault="00C32B40" w:rsidP="00C32B40">
            <w:pPr>
              <w:autoSpaceDE w:val="0"/>
              <w:autoSpaceDN w:val="0"/>
              <w:adjustRightInd w:val="0"/>
              <w:jc w:val="both"/>
            </w:pPr>
            <w:r w:rsidRPr="00972152">
              <w:t>Условия поставки товара определены в Приложениях №№ 1</w:t>
            </w:r>
            <w:r>
              <w:t>.1</w:t>
            </w:r>
            <w:r w:rsidRPr="00972152">
              <w:t>, 2 к Извещению.</w:t>
            </w:r>
          </w:p>
          <w:p w:rsidR="0014229A" w:rsidRPr="00F84878" w:rsidRDefault="00C32B40" w:rsidP="005E779F">
            <w:pPr>
              <w:pStyle w:val="Default"/>
              <w:jc w:val="both"/>
            </w:pPr>
            <w:r w:rsidRPr="00972152">
              <w:rPr>
                <w:rFonts w:eastAsia="Times New Roman"/>
                <w:lang w:eastAsia="ru-RU"/>
              </w:rPr>
              <w:t xml:space="preserve">Срок (периоды) поставки товара: </w:t>
            </w:r>
            <w:r>
              <w:rPr>
                <w:rFonts w:eastAsia="Times New Roman"/>
                <w:lang w:eastAsia="ru-RU"/>
              </w:rPr>
              <w:t>График поставки определен в Приложении №2 к Извещению.</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EA386B">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w:t>
            </w:r>
            <w:r w:rsidRPr="002536B6">
              <w:lastRenderedPageBreak/>
              <w:t xml:space="preserve">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D37E5A">
        <w:trPr>
          <w:trHeight w:val="1204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 xml:space="preserve">ризнания его </w:t>
            </w:r>
            <w:r w:rsidRPr="0062672B">
              <w:lastRenderedPageBreak/>
              <w:t>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EA386B">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закупки по форме Приложения № 3 к Извещению с приложением расчета и обоснования цены договора (спецификация) по форме Приложения</w:t>
            </w:r>
            <w:r w:rsidR="00A02B2E" w:rsidRPr="00A02B2E">
              <w:t xml:space="preserve"> №1 к Изв</w:t>
            </w:r>
            <w:r w:rsidR="00A02B2E">
              <w:t>ещению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EA386B">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EA386B">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EA386B">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w:t>
            </w:r>
            <w:proofErr w:type="gramEnd"/>
            <w:r w:rsidRPr="00057935">
              <w:t xml:space="preserve"> до заключения договора.</w:t>
            </w:r>
            <w:bookmarkEnd w:id="36"/>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w:t>
            </w:r>
            <w:r w:rsidRPr="005E5897">
              <w:lastRenderedPageBreak/>
              <w:t xml:space="preserve">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w:t>
            </w:r>
            <w:r w:rsidRPr="00385A5A">
              <w:lastRenderedPageBreak/>
              <w:t>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EA386B">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EA386B">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 xml:space="preserve">предложенная в Заявке цена товаров, работ, услуг превышает </w:t>
            </w:r>
            <w:r>
              <w:lastRenderedPageBreak/>
              <w:t>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r w:rsidRPr="00DD7F60">
                <w:rPr>
                  <w:rStyle w:val="a3"/>
                  <w:color w:val="auto"/>
                  <w:u w:val="none"/>
                </w:rPr>
                <w:t xml:space="preserve">Положением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EA386B" w:rsidRPr="00EA386B" w:rsidRDefault="00EA386B" w:rsidP="00DD7F60">
            <w:pPr>
              <w:ind w:firstLine="528"/>
              <w:jc w:val="both"/>
            </w:pPr>
            <w:r w:rsidRPr="00EA386B">
              <w:t>П. 3.4.1 Проекта договора (Приложение №2 к Извещению):</w:t>
            </w:r>
          </w:p>
          <w:p w:rsidR="0014229A" w:rsidRPr="00DD7F60" w:rsidRDefault="00EA386B" w:rsidP="00DD7F60">
            <w:pPr>
              <w:ind w:firstLine="528"/>
              <w:jc w:val="both"/>
            </w:pPr>
            <w:r w:rsidRPr="00EA386B">
              <w:t>«</w:t>
            </w:r>
            <w:r w:rsidRPr="00EA386B">
              <w:t>Оплата по настоящему Договору производится Покупателем по факту поставки первой партии товара (Апрель, 2016 года) в течение 30 (тридцати) календарных дней, второй партии (Май, 2016 года) в течение 60 календарных дней и третьей партии (Июнь, 2016 года)</w:t>
            </w:r>
            <w:r w:rsidRPr="00EA386B">
              <w:rPr>
                <w:lang w:eastAsia="en-US"/>
              </w:rPr>
              <w:t xml:space="preserve"> в течение 90 календарных дней с момента получения оригинала счета</w:t>
            </w:r>
            <w:r w:rsidRPr="00EA386B">
              <w:rPr>
                <w:lang w:eastAsia="en-US"/>
              </w:rP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w:t>
            </w:r>
            <w:r>
              <w:lastRenderedPageBreak/>
              <w:t xml:space="preserve">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предусмотренных договором количества товаров/ объема работ, </w:t>
            </w:r>
            <w:r w:rsidRPr="00DD7F60">
              <w:lastRenderedPageBreak/>
              <w:t>услуг;</w:t>
            </w:r>
          </w:p>
          <w:p w:rsidR="0014229A" w:rsidRPr="00DD7F60" w:rsidRDefault="0014229A" w:rsidP="003B25CB">
            <w:pPr>
              <w:pStyle w:val="a4"/>
              <w:numPr>
                <w:ilvl w:val="0"/>
                <w:numId w:val="8"/>
              </w:numPr>
              <w:ind w:left="0" w:firstLine="528"/>
              <w:jc w:val="both"/>
            </w:pPr>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lastRenderedPageBreak/>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r w:rsidR="005C6DCB" w:rsidRPr="00B21CC5">
        <w:t>Извещение о закупке, спецификация (Приложение № 1</w:t>
      </w:r>
      <w:r w:rsidR="005E779F">
        <w:t>.1</w:t>
      </w:r>
      <w:r w:rsidR="005C6DCB" w:rsidRPr="00B21CC5">
        <w:t xml:space="preserve"> к Извещению), </w:t>
      </w:r>
      <w:r w:rsidR="005E779F">
        <w:t xml:space="preserve">Протокол тестирования абонентского терминала </w:t>
      </w:r>
      <w:r w:rsidR="005E779F">
        <w:rPr>
          <w:lang w:val="en-US"/>
        </w:rPr>
        <w:t>GPON</w:t>
      </w:r>
      <w:r w:rsidR="005E779F" w:rsidRPr="005E779F">
        <w:t xml:space="preserve"> (</w:t>
      </w:r>
      <w:r w:rsidR="005E779F">
        <w:rPr>
          <w:lang w:val="en-US"/>
        </w:rPr>
        <w:t>ONT</w:t>
      </w:r>
      <w:r w:rsidR="005E779F" w:rsidRPr="005E779F">
        <w:t xml:space="preserve">) </w:t>
      </w:r>
      <w:proofErr w:type="spellStart"/>
      <w:r w:rsidR="005E779F">
        <w:rPr>
          <w:lang w:val="en-US"/>
        </w:rPr>
        <w:t>Zyxel</w:t>
      </w:r>
      <w:proofErr w:type="spellEnd"/>
      <w:r w:rsidR="005E779F" w:rsidRPr="005E779F">
        <w:t xml:space="preserve"> </w:t>
      </w:r>
      <w:r w:rsidR="005E779F">
        <w:rPr>
          <w:lang w:val="en-US"/>
        </w:rPr>
        <w:t>PSG</w:t>
      </w:r>
      <w:r w:rsidR="005E779F" w:rsidRPr="005E779F">
        <w:t>1282-22 (</w:t>
      </w:r>
      <w:r w:rsidR="005E779F">
        <w:t xml:space="preserve">Приложение №1.2 к Извещению), Протокол тестирования абонентского терминала </w:t>
      </w:r>
      <w:r w:rsidR="005E779F">
        <w:rPr>
          <w:lang w:val="en-US"/>
        </w:rPr>
        <w:t>GPON</w:t>
      </w:r>
      <w:r w:rsidR="005E779F" w:rsidRPr="005E779F">
        <w:t xml:space="preserve"> (</w:t>
      </w:r>
      <w:r w:rsidR="005E779F">
        <w:rPr>
          <w:lang w:val="en-US"/>
        </w:rPr>
        <w:t>ONT</w:t>
      </w:r>
      <w:r w:rsidR="005E779F" w:rsidRPr="005E779F">
        <w:t xml:space="preserve">) </w:t>
      </w:r>
      <w:proofErr w:type="spellStart"/>
      <w:r w:rsidR="005E779F">
        <w:rPr>
          <w:lang w:val="en-US"/>
        </w:rPr>
        <w:t>Zyxel</w:t>
      </w:r>
      <w:proofErr w:type="spellEnd"/>
      <w:r w:rsidR="005E779F" w:rsidRPr="005E779F">
        <w:t xml:space="preserve"> </w:t>
      </w:r>
      <w:r w:rsidR="005E779F">
        <w:rPr>
          <w:lang w:val="en-US"/>
        </w:rPr>
        <w:t>PSG</w:t>
      </w:r>
      <w:r w:rsidR="005E779F" w:rsidRPr="005E779F">
        <w:t>1282</w:t>
      </w:r>
      <w:r w:rsidR="005E779F">
        <w:rPr>
          <w:lang w:val="en-US"/>
        </w:rPr>
        <w:t>NV</w:t>
      </w:r>
      <w:r w:rsidR="005E779F" w:rsidRPr="005E779F">
        <w:t>-22 (</w:t>
      </w:r>
      <w:r w:rsidR="005E779F">
        <w:t>Приложение №1.3 к Извещению),</w:t>
      </w:r>
      <w:r w:rsidR="005E779F" w:rsidRPr="005E779F">
        <w:t xml:space="preserve"> </w:t>
      </w:r>
      <w:r w:rsidR="005C6DCB" w:rsidRPr="00B21CC5">
        <w:t>проект договора (Приложение № 2 к Извещению), форма заявки на участие в закупке (Приложение № 3 к Извещению), п</w:t>
      </w:r>
      <w:r w:rsidR="005C6DCB" w:rsidRPr="00B21CC5">
        <w:rPr>
          <w:bCs/>
        </w:rPr>
        <w:t xml:space="preserve">орядок оценки и сопоставления заявок на Участие в </w:t>
      </w:r>
      <w:r w:rsidR="005C6DCB" w:rsidRPr="00B21CC5">
        <w:t>закупке (Приложение № 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к Извещению)</w:t>
      </w:r>
      <w:r w:rsidR="00373528" w:rsidRPr="00B21CC5">
        <w:t>, форма запроса на разъяснение документации о закупке (Приложение № 6 к Извещению)</w:t>
      </w:r>
      <w:r w:rsidR="005C6DCB" w:rsidRPr="00B21CC5">
        <w:t>.</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6416" w:rsidRDefault="00C16416" w:rsidP="0014229A">
      <w:r>
        <w:separator/>
      </w:r>
    </w:p>
  </w:endnote>
  <w:endnote w:type="continuationSeparator" w:id="0">
    <w:p w:rsidR="00C16416" w:rsidRDefault="00C16416"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6416" w:rsidRDefault="00C16416" w:rsidP="0014229A">
      <w:r>
        <w:separator/>
      </w:r>
    </w:p>
  </w:footnote>
  <w:footnote w:type="continuationSeparator" w:id="0">
    <w:p w:rsidR="00C16416" w:rsidRDefault="00C16416"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6"/>
      <w:jc w:val="center"/>
    </w:pPr>
    <w:r>
      <w:fldChar w:fldCharType="begin"/>
    </w:r>
    <w:r>
      <w:instrText>PAGE   \* MERGEFORMAT</w:instrText>
    </w:r>
    <w:r>
      <w:fldChar w:fldCharType="separate"/>
    </w:r>
    <w:r w:rsidR="00EA386B">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55701"/>
    <w:rsid w:val="00093E9C"/>
    <w:rsid w:val="000A4ECA"/>
    <w:rsid w:val="000D6510"/>
    <w:rsid w:val="000F4823"/>
    <w:rsid w:val="000F7BA5"/>
    <w:rsid w:val="0014229A"/>
    <w:rsid w:val="00155152"/>
    <w:rsid w:val="001B4383"/>
    <w:rsid w:val="001D7DA3"/>
    <w:rsid w:val="0026485E"/>
    <w:rsid w:val="002D3626"/>
    <w:rsid w:val="0032055F"/>
    <w:rsid w:val="0033356E"/>
    <w:rsid w:val="00355EFE"/>
    <w:rsid w:val="00373528"/>
    <w:rsid w:val="00393AC3"/>
    <w:rsid w:val="003B25CB"/>
    <w:rsid w:val="003B6396"/>
    <w:rsid w:val="003C5771"/>
    <w:rsid w:val="003E2E6B"/>
    <w:rsid w:val="003E3508"/>
    <w:rsid w:val="00401F71"/>
    <w:rsid w:val="00411612"/>
    <w:rsid w:val="0043434A"/>
    <w:rsid w:val="00463B0A"/>
    <w:rsid w:val="004C05AA"/>
    <w:rsid w:val="005717E2"/>
    <w:rsid w:val="00574643"/>
    <w:rsid w:val="005770DA"/>
    <w:rsid w:val="00580C36"/>
    <w:rsid w:val="0058706C"/>
    <w:rsid w:val="00591BD4"/>
    <w:rsid w:val="005A0857"/>
    <w:rsid w:val="005A12D2"/>
    <w:rsid w:val="005B0AB9"/>
    <w:rsid w:val="005C6DCB"/>
    <w:rsid w:val="005E779F"/>
    <w:rsid w:val="006023C7"/>
    <w:rsid w:val="006351F8"/>
    <w:rsid w:val="00660B32"/>
    <w:rsid w:val="00712F06"/>
    <w:rsid w:val="007816DF"/>
    <w:rsid w:val="00797098"/>
    <w:rsid w:val="007C17D3"/>
    <w:rsid w:val="007E34B5"/>
    <w:rsid w:val="00804945"/>
    <w:rsid w:val="008239AB"/>
    <w:rsid w:val="0083262D"/>
    <w:rsid w:val="00841B29"/>
    <w:rsid w:val="00846365"/>
    <w:rsid w:val="00892DC0"/>
    <w:rsid w:val="008A40EB"/>
    <w:rsid w:val="008C6A98"/>
    <w:rsid w:val="008D0F33"/>
    <w:rsid w:val="008F2EB6"/>
    <w:rsid w:val="00945B7A"/>
    <w:rsid w:val="009A662F"/>
    <w:rsid w:val="009F777B"/>
    <w:rsid w:val="00A02B2E"/>
    <w:rsid w:val="00A27D60"/>
    <w:rsid w:val="00A362A1"/>
    <w:rsid w:val="00A667E3"/>
    <w:rsid w:val="00A91F15"/>
    <w:rsid w:val="00AB0FBA"/>
    <w:rsid w:val="00AC38A7"/>
    <w:rsid w:val="00B20386"/>
    <w:rsid w:val="00B21CC5"/>
    <w:rsid w:val="00BA140C"/>
    <w:rsid w:val="00BA27B3"/>
    <w:rsid w:val="00BB560C"/>
    <w:rsid w:val="00C16416"/>
    <w:rsid w:val="00C327CC"/>
    <w:rsid w:val="00C32B40"/>
    <w:rsid w:val="00C675FE"/>
    <w:rsid w:val="00C77202"/>
    <w:rsid w:val="00CB6832"/>
    <w:rsid w:val="00D37E5A"/>
    <w:rsid w:val="00D4565D"/>
    <w:rsid w:val="00D94587"/>
    <w:rsid w:val="00DC2D28"/>
    <w:rsid w:val="00DD7F60"/>
    <w:rsid w:val="00E74D2C"/>
    <w:rsid w:val="00E9498C"/>
    <w:rsid w:val="00EA1830"/>
    <w:rsid w:val="00EA386B"/>
    <w:rsid w:val="00EB346C"/>
    <w:rsid w:val="00EC79E6"/>
    <w:rsid w:val="00ED7BA7"/>
    <w:rsid w:val="00EF33D2"/>
    <w:rsid w:val="00F13CAC"/>
    <w:rsid w:val="00F17D4A"/>
    <w:rsid w:val="00F57712"/>
    <w:rsid w:val="00F65720"/>
    <w:rsid w:val="00F8370A"/>
    <w:rsid w:val="00F83F95"/>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s.gileva@bashtel.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4D33EA-DC1A-42CA-AED9-1A00E2FF6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19</Pages>
  <Words>7372</Words>
  <Characters>42025</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49299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27</cp:revision>
  <cp:lastPrinted>2015-12-30T08:24:00Z</cp:lastPrinted>
  <dcterms:created xsi:type="dcterms:W3CDTF">2015-10-07T04:10:00Z</dcterms:created>
  <dcterms:modified xsi:type="dcterms:W3CDTF">2015-12-30T08:31:00Z</dcterms:modified>
</cp:coreProperties>
</file>